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117E" w14:textId="77777777" w:rsidR="00013775" w:rsidRPr="00013775" w:rsidRDefault="00013775" w:rsidP="00013775">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013775">
        <w:rPr>
          <w:rFonts w:ascii="Fira Sans" w:hAnsi="Fira Sans" w:cs="Fira Sans"/>
          <w:b/>
          <w:bCs/>
          <w:i/>
          <w:iCs/>
          <w:color w:val="00812F"/>
          <w:sz w:val="54"/>
          <w:szCs w:val="54"/>
          <w:lang w:val="es-ES_tradnl"/>
        </w:rPr>
        <w:t xml:space="preserve">Jerusalén y Jordania </w:t>
      </w:r>
    </w:p>
    <w:p w14:paraId="1756D73B" w14:textId="77777777" w:rsidR="00013775" w:rsidRPr="00013775" w:rsidRDefault="00013775" w:rsidP="00013775">
      <w:pPr>
        <w:pStyle w:val="codigocabecera"/>
        <w:rPr>
          <w:rFonts w:ascii="Fira Sans Light" w:hAnsi="Fira Sans Light" w:cs="Fira Sans Light"/>
        </w:rPr>
      </w:pPr>
      <w:r w:rsidRPr="00D14B73">
        <w:rPr>
          <w:rFonts w:ascii="Fira Sans Light" w:hAnsi="Fira Sans Light" w:cs="Fira Sans Light"/>
        </w:rPr>
        <w:t>C-</w:t>
      </w:r>
      <w:r w:rsidRPr="00013775">
        <w:rPr>
          <w:rFonts w:ascii="Fira Sans Light" w:hAnsi="Fira Sans Light" w:cs="Fira Sans Light"/>
        </w:rPr>
        <w:t>8838</w:t>
      </w:r>
    </w:p>
    <w:p w14:paraId="798BBEB5" w14:textId="77777777" w:rsidR="00013775" w:rsidRDefault="00013775" w:rsidP="00013775">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01202284" w14:textId="77777777" w:rsidR="00013775" w:rsidRPr="00013775" w:rsidRDefault="00013775" w:rsidP="00013775">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Pr="00013775">
        <w:rPr>
          <w:rFonts w:ascii="Asap" w:hAnsi="Asap" w:cs="Asap"/>
          <w:i/>
          <w:iCs/>
          <w:color w:val="000000"/>
          <w:w w:val="90"/>
          <w:sz w:val="15"/>
          <w:szCs w:val="15"/>
        </w:rPr>
        <w:t>Jerusalén 4. Amán 2. Petra 1.</w:t>
      </w:r>
    </w:p>
    <w:p w14:paraId="48D8BFB3" w14:textId="77777777" w:rsidR="00013775" w:rsidRDefault="00013775" w:rsidP="00013775">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 xml:space="preserve">8 </w:t>
      </w:r>
      <w:r>
        <w:rPr>
          <w:rFonts w:ascii="Asap" w:hAnsi="Asap" w:cs="Asap"/>
          <w:i/>
          <w:iCs/>
          <w:w w:val="90"/>
          <w:sz w:val="15"/>
          <w:szCs w:val="15"/>
        </w:rPr>
        <w:t xml:space="preserve"> </w:t>
      </w:r>
      <w:r w:rsidRPr="00BF6700">
        <w:rPr>
          <w:rFonts w:ascii="Asap" w:hAnsi="Asap" w:cs="Asap"/>
          <w:iCs/>
          <w:w w:val="90"/>
          <w:sz w:val="15"/>
          <w:szCs w:val="15"/>
        </w:rPr>
        <w:t>DIAS</w:t>
      </w:r>
    </w:p>
    <w:p w14:paraId="3E3F1424" w14:textId="6789A5C9" w:rsidR="00013775" w:rsidRPr="00013775" w:rsidRDefault="00013775" w:rsidP="00013775">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Pr="00013775">
        <w:rPr>
          <w:rFonts w:ascii="Fira Sans" w:hAnsi="Fira Sans" w:cs="Fira Sans"/>
          <w:b/>
          <w:bCs/>
          <w:color w:val="3F3F3F"/>
          <w:spacing w:val="-10"/>
          <w:position w:val="2"/>
          <w:sz w:val="40"/>
          <w:szCs w:val="40"/>
          <w:lang w:val="es-ES"/>
        </w:rPr>
        <w:t>1.</w:t>
      </w:r>
      <w:r w:rsidR="002A1913">
        <w:rPr>
          <w:rFonts w:ascii="Fira Sans" w:hAnsi="Fira Sans" w:cs="Fira Sans"/>
          <w:b/>
          <w:bCs/>
          <w:color w:val="3F3F3F"/>
          <w:spacing w:val="-10"/>
          <w:position w:val="2"/>
          <w:sz w:val="40"/>
          <w:szCs w:val="40"/>
          <w:lang w:val="es-ES"/>
        </w:rPr>
        <w:t>7</w:t>
      </w:r>
      <w:r w:rsidRPr="00013775">
        <w:rPr>
          <w:rFonts w:ascii="Fira Sans" w:hAnsi="Fira Sans" w:cs="Fira Sans"/>
          <w:b/>
          <w:bCs/>
          <w:color w:val="3F3F3F"/>
          <w:spacing w:val="-10"/>
          <w:position w:val="2"/>
          <w:sz w:val="40"/>
          <w:szCs w:val="40"/>
          <w:lang w:val="es-ES"/>
        </w:rPr>
        <w:t>50</w:t>
      </w:r>
      <w:r>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14F46D6A"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Día 1º (Miércoles) JERUSALÉN</w:t>
      </w:r>
    </w:p>
    <w:p w14:paraId="0016482A"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13775">
        <w:rPr>
          <w:rFonts w:ascii="Asap" w:hAnsi="Asap" w:cs="Asap"/>
          <w:color w:val="000000"/>
          <w:w w:val="90"/>
          <w:sz w:val="17"/>
          <w:szCs w:val="17"/>
          <w:lang w:val="es-ES_tradnl"/>
        </w:rPr>
        <w:t xml:space="preserve">Llegada al Aeropuerto Ben Gurion. Traslado al hotel. </w:t>
      </w:r>
      <w:r w:rsidRPr="00013775">
        <w:rPr>
          <w:rFonts w:ascii="Asap SemiBold" w:hAnsi="Asap SemiBold" w:cs="Asap SemiBold"/>
          <w:b/>
          <w:bCs/>
          <w:color w:val="000000"/>
          <w:w w:val="90"/>
          <w:sz w:val="17"/>
          <w:szCs w:val="17"/>
          <w:lang w:val="es-ES_tradnl"/>
        </w:rPr>
        <w:t xml:space="preserve">Alojamiento. </w:t>
      </w:r>
    </w:p>
    <w:p w14:paraId="71DB1FC3"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E5E77FE"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Día 2º (Jueves) JERUSALÉN</w:t>
      </w:r>
    </w:p>
    <w:p w14:paraId="092E585E"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13775">
        <w:rPr>
          <w:rFonts w:ascii="Asap SemiBold" w:hAnsi="Asap SemiBold" w:cs="Asap SemiBold"/>
          <w:b/>
          <w:bCs/>
          <w:color w:val="000000"/>
          <w:w w:val="90"/>
          <w:sz w:val="17"/>
          <w:szCs w:val="17"/>
          <w:lang w:val="es-ES_tradnl"/>
        </w:rPr>
        <w:t xml:space="preserve">Desayuno. </w:t>
      </w:r>
      <w:r w:rsidRPr="00013775">
        <w:rPr>
          <w:rFonts w:ascii="Asap" w:hAnsi="Asap" w:cs="Asap"/>
          <w:color w:val="000000"/>
          <w:w w:val="90"/>
          <w:sz w:val="17"/>
          <w:szCs w:val="17"/>
          <w:lang w:val="es-ES_tradnl"/>
        </w:rPr>
        <w:t xml:space="preserve">Día libre. Posibilidad de realizar la excursión opcional a Masada y Mar Muerto. Salida hacia el Mar Muerto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Jerusalén. </w:t>
      </w:r>
      <w:r w:rsidRPr="00013775">
        <w:rPr>
          <w:rFonts w:ascii="Asap SemiBold" w:hAnsi="Asap SemiBold" w:cs="Asap SemiBold"/>
          <w:b/>
          <w:bCs/>
          <w:color w:val="000000"/>
          <w:w w:val="90"/>
          <w:sz w:val="17"/>
          <w:szCs w:val="17"/>
          <w:lang w:val="es-ES_tradnl"/>
        </w:rPr>
        <w:t>Alojamiento.</w:t>
      </w:r>
      <w:r w:rsidRPr="00013775">
        <w:rPr>
          <w:rFonts w:ascii="Asap" w:hAnsi="Asap" w:cs="Asap"/>
          <w:color w:val="000000"/>
          <w:w w:val="90"/>
          <w:sz w:val="17"/>
          <w:szCs w:val="17"/>
          <w:lang w:val="es-ES_tradnl"/>
        </w:rPr>
        <w:t xml:space="preserve"> </w:t>
      </w:r>
    </w:p>
    <w:p w14:paraId="5200C2D2"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23EE6BB"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 xml:space="preserve">Día 3º (Viernes) JERUSALÉN–BELÉN-JERUSALÉN </w:t>
      </w:r>
    </w:p>
    <w:p w14:paraId="422651C0" w14:textId="77777777" w:rsidR="00013775" w:rsidRPr="00013775" w:rsidRDefault="00013775" w:rsidP="00013775">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13775">
        <w:rPr>
          <w:rFonts w:ascii="Asap SemiBold" w:hAnsi="Asap SemiBold" w:cs="Asap SemiBold"/>
          <w:b/>
          <w:bCs/>
          <w:color w:val="000000"/>
          <w:w w:val="90"/>
          <w:sz w:val="17"/>
          <w:szCs w:val="17"/>
          <w:lang w:val="es-ES_tradnl"/>
        </w:rPr>
        <w:t>Desayuno.</w:t>
      </w:r>
      <w:r w:rsidRPr="00013775">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Visita de Yad Vashem, Museo y Memorial del Holocausto. Por la tarde visita a Belén, donde, entrando por la puerta de Humildad a la Iglesia de la Natividad, veremos la Gruta del Pesebre y la Estrella de 14 puntas (Lugar del nacimiento de Jesús). Continuamos para una vista del Campo de los Pastores. Regreso a Jerusalén. </w:t>
      </w:r>
      <w:r w:rsidRPr="00013775">
        <w:rPr>
          <w:rFonts w:ascii="Asap SemiBold" w:hAnsi="Asap SemiBold" w:cs="Asap SemiBold"/>
          <w:b/>
          <w:bCs/>
          <w:color w:val="000000"/>
          <w:w w:val="90"/>
          <w:sz w:val="17"/>
          <w:szCs w:val="17"/>
          <w:lang w:val="es-ES_tradnl"/>
        </w:rPr>
        <w:t>Alojamiento.</w:t>
      </w:r>
    </w:p>
    <w:p w14:paraId="531B06F9"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EE74F3B"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Día 4º (Sábado) JERUSALÉN CIUDAD ANTIGUA</w:t>
      </w:r>
    </w:p>
    <w:p w14:paraId="1AD75CEF" w14:textId="77777777" w:rsidR="00013775" w:rsidRPr="00013775" w:rsidRDefault="00013775" w:rsidP="00013775">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13775">
        <w:rPr>
          <w:rFonts w:ascii="Asap SemiBold" w:hAnsi="Asap SemiBold" w:cs="Asap SemiBold"/>
          <w:b/>
          <w:bCs/>
          <w:color w:val="000000"/>
          <w:w w:val="90"/>
          <w:sz w:val="17"/>
          <w:szCs w:val="17"/>
          <w:lang w:val="es-ES_tradnl"/>
        </w:rPr>
        <w:t>Desayuno.</w:t>
      </w:r>
      <w:r w:rsidRPr="00013775">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013775">
        <w:rPr>
          <w:rFonts w:ascii="Asap SemiBold" w:hAnsi="Asap SemiBold" w:cs="Asap SemiBold"/>
          <w:b/>
          <w:bCs/>
          <w:color w:val="000000"/>
          <w:w w:val="90"/>
          <w:sz w:val="17"/>
          <w:szCs w:val="17"/>
          <w:lang w:val="es-ES_tradnl"/>
        </w:rPr>
        <w:t xml:space="preserve">Alojamiento. </w:t>
      </w:r>
    </w:p>
    <w:p w14:paraId="5314EFC6"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53F6C8C"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Día 5º (Domingo) JERUSALÉN–SHEIK HUSSEIN–JERASH-AMÁN</w:t>
      </w:r>
    </w:p>
    <w:p w14:paraId="4D342D19"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13775">
        <w:rPr>
          <w:rFonts w:ascii="Asap SemiBold" w:hAnsi="Asap SemiBold" w:cs="Asap SemiBold"/>
          <w:b/>
          <w:bCs/>
          <w:color w:val="000000"/>
          <w:w w:val="90"/>
          <w:sz w:val="17"/>
          <w:szCs w:val="17"/>
          <w:lang w:val="es-ES_tradnl"/>
        </w:rPr>
        <w:t>Desayuno.</w:t>
      </w:r>
      <w:r w:rsidRPr="00013775">
        <w:rPr>
          <w:rFonts w:ascii="Asap" w:hAnsi="Asap" w:cs="Asap"/>
          <w:color w:val="000000"/>
          <w:w w:val="90"/>
          <w:sz w:val="17"/>
          <w:szCs w:val="17"/>
          <w:lang w:val="es-ES_tradnl"/>
        </w:rPr>
        <w:t xml:space="preserve"> Salida desde Jerusalén hacia la frontera Sheikh Hussein con conductor de habla inglesa. Una vez finalizados los trámites fronterizos correspondientes, encuentro con el guía jordano para continuar hacia Jerash, ciudad de Decápolis, situada a 45 km y a una hora de distancia por carretera. Durante la excursión visitaremos el Arco de Triunfo, la Plaza Ovalada, el Cardo, la Columnata, el Templo de Afrodita y finalizaremos en el Teatro Romano que posee una maravillosa acústica. Salida hacia Amán. </w:t>
      </w:r>
      <w:r w:rsidRPr="00013775">
        <w:rPr>
          <w:rFonts w:ascii="Asap SemiBold" w:hAnsi="Asap SemiBold" w:cs="Asap SemiBold"/>
          <w:b/>
          <w:bCs/>
          <w:color w:val="000000"/>
          <w:w w:val="90"/>
          <w:sz w:val="17"/>
          <w:szCs w:val="17"/>
          <w:lang w:val="es-ES_tradnl"/>
        </w:rPr>
        <w:t xml:space="preserve">Cena y alojamiento. </w:t>
      </w:r>
    </w:p>
    <w:p w14:paraId="65B2E3AF"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AD594FB"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Día 6º (Lunes) AMÁN–MADABA–NEBO–PETRA</w:t>
      </w:r>
    </w:p>
    <w:p w14:paraId="0EC123F3"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13775">
        <w:rPr>
          <w:rFonts w:ascii="Asap SemiBold" w:hAnsi="Asap SemiBold" w:cs="Asap SemiBold"/>
          <w:b/>
          <w:bCs/>
          <w:color w:val="000000"/>
          <w:w w:val="90"/>
          <w:sz w:val="17"/>
          <w:szCs w:val="17"/>
          <w:lang w:val="es-ES_tradnl"/>
        </w:rPr>
        <w:t>Desayuno.</w:t>
      </w:r>
      <w:r w:rsidRPr="00013775">
        <w:rPr>
          <w:rFonts w:ascii="Asap" w:hAnsi="Asap" w:cs="Asap"/>
          <w:color w:val="000000"/>
          <w:w w:val="90"/>
          <w:sz w:val="17"/>
          <w:szCs w:val="17"/>
          <w:lang w:val="es-ES_tradnl"/>
        </w:rPr>
        <w:t xml:space="preserve"> Salida hacia Madaba para visitar la Iglesia Ortodoxa de San Jorge, donde se encuentra el primer mapa mosaico de la Tierra Santa. Continuaremos hacia el Monte Nebo para admirar la vista única del Valle Jordán y el Mar Muerto desde la montaña. Este lugar es importante porque fue el último lugar visitado por Moisés y desde donde el profeta divisó la tierra prometida, a la que nunca llegaría. Viaje por ruta a través del Desierto vía Wadi Musa hasta Petra. </w:t>
      </w:r>
      <w:r w:rsidRPr="00013775">
        <w:rPr>
          <w:rFonts w:ascii="Asap SemiBold" w:hAnsi="Asap SemiBold" w:cs="Asap SemiBold"/>
          <w:b/>
          <w:bCs/>
          <w:color w:val="000000"/>
          <w:w w:val="90"/>
          <w:sz w:val="17"/>
          <w:szCs w:val="17"/>
          <w:lang w:val="es-ES_tradnl"/>
        </w:rPr>
        <w:t xml:space="preserve">Cena y alojamiento. </w:t>
      </w:r>
    </w:p>
    <w:p w14:paraId="228CCEB0"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EE1EC44"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Día 7º (Martes) PETRA–AMÁN</w:t>
      </w:r>
    </w:p>
    <w:p w14:paraId="0C319445" w14:textId="77777777" w:rsidR="00013775" w:rsidRPr="00013775" w:rsidRDefault="00013775" w:rsidP="00013775">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013775">
        <w:rPr>
          <w:rFonts w:ascii="Asap SemiBold" w:hAnsi="Asap SemiBold" w:cs="Asap SemiBold"/>
          <w:b/>
          <w:bCs/>
          <w:color w:val="000000"/>
          <w:w w:val="90"/>
          <w:sz w:val="17"/>
          <w:szCs w:val="17"/>
          <w:lang w:val="es-ES_tradnl"/>
        </w:rPr>
        <w:t xml:space="preserve">Desayuno. </w:t>
      </w:r>
      <w:r w:rsidRPr="00013775">
        <w:rPr>
          <w:rFonts w:ascii="Asap" w:hAnsi="Asap" w:cs="Asap"/>
          <w:color w:val="000000"/>
          <w:w w:val="90"/>
          <w:sz w:val="17"/>
          <w:szCs w:val="17"/>
          <w:lang w:val="es-ES_tradnl"/>
        </w:rPr>
        <w:t xml:space="preserve">Visita a la ciudad rosa, capital de los Nabateos. Durante la visita conoceremos sus más importantes y representativos monumentos esculpidos en la roca rosa por los Nabateos. El Tesoro, famoso e internacionalmente conocido monumento llevado al cine en una de las películas de Indiana Jones, las Tumbas de Colores, las Tumbas Reales, etc. Petra es uno de esos lugares del mundo al que hay que visitar al menos una vez en la vida. Salida hacia Amán. </w:t>
      </w:r>
      <w:r w:rsidRPr="00013775">
        <w:rPr>
          <w:rFonts w:ascii="Asap SemiBold" w:hAnsi="Asap SemiBold" w:cs="Asap SemiBold"/>
          <w:b/>
          <w:bCs/>
          <w:color w:val="000000"/>
          <w:w w:val="90"/>
          <w:sz w:val="17"/>
          <w:szCs w:val="17"/>
          <w:lang w:val="es-ES_tradnl"/>
        </w:rPr>
        <w:t xml:space="preserve">Cena y alojamiento. </w:t>
      </w:r>
    </w:p>
    <w:p w14:paraId="6511CAF2"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6A3825F" w14:textId="77777777" w:rsidR="00013775" w:rsidRPr="00013775" w:rsidRDefault="00013775" w:rsidP="00013775">
      <w:pPr>
        <w:suppressAutoHyphens/>
        <w:autoSpaceDE w:val="0"/>
        <w:autoSpaceDN w:val="0"/>
        <w:adjustRightInd w:val="0"/>
        <w:spacing w:line="200" w:lineRule="atLeast"/>
        <w:textAlignment w:val="center"/>
        <w:rPr>
          <w:rFonts w:ascii="Asap" w:hAnsi="Asap" w:cs="Asap"/>
          <w:b/>
          <w:bCs/>
          <w:color w:val="E50000"/>
          <w:w w:val="90"/>
          <w:sz w:val="17"/>
          <w:szCs w:val="17"/>
          <w:lang w:val="es-ES_tradnl"/>
        </w:rPr>
      </w:pPr>
      <w:r w:rsidRPr="00013775">
        <w:rPr>
          <w:rFonts w:ascii="Asap" w:hAnsi="Asap" w:cs="Asap"/>
          <w:b/>
          <w:bCs/>
          <w:color w:val="E50000"/>
          <w:w w:val="90"/>
          <w:sz w:val="17"/>
          <w:szCs w:val="17"/>
          <w:lang w:val="es-ES_tradnl"/>
        </w:rPr>
        <w:t xml:space="preserve">Dia 8º (Miércoles) AMÁN </w:t>
      </w:r>
    </w:p>
    <w:p w14:paraId="79CD7C41"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013775">
        <w:rPr>
          <w:rFonts w:ascii="Asap SemiBold" w:hAnsi="Asap SemiBold" w:cs="Asap SemiBold"/>
          <w:b/>
          <w:bCs/>
          <w:color w:val="000000"/>
          <w:w w:val="90"/>
          <w:sz w:val="17"/>
          <w:szCs w:val="17"/>
          <w:lang w:val="es-ES_tradnl"/>
        </w:rPr>
        <w:t xml:space="preserve">Desayuno. </w:t>
      </w:r>
      <w:r w:rsidRPr="00013775">
        <w:rPr>
          <w:rFonts w:ascii="Asap" w:hAnsi="Asap" w:cs="Asap"/>
          <w:color w:val="000000"/>
          <w:w w:val="90"/>
          <w:sz w:val="17"/>
          <w:szCs w:val="17"/>
          <w:lang w:val="es-ES_tradnl"/>
        </w:rPr>
        <w:t xml:space="preserve">A la hora indicada traslado al aeropuerto. </w:t>
      </w:r>
      <w:r w:rsidRPr="00013775">
        <w:rPr>
          <w:rFonts w:ascii="Asap SemiBold" w:hAnsi="Asap SemiBold" w:cs="Asap SemiBold"/>
          <w:b/>
          <w:bCs/>
          <w:color w:val="000000"/>
          <w:w w:val="90"/>
          <w:sz w:val="17"/>
          <w:szCs w:val="17"/>
          <w:lang w:val="es-ES_tradnl"/>
        </w:rPr>
        <w:t>Fin de los servicios.</w:t>
      </w:r>
      <w:r w:rsidRPr="00013775">
        <w:rPr>
          <w:rFonts w:ascii="Asap" w:hAnsi="Asap" w:cs="Asap"/>
          <w:color w:val="000000"/>
          <w:w w:val="90"/>
          <w:sz w:val="17"/>
          <w:szCs w:val="17"/>
          <w:lang w:val="es-ES_tradnl"/>
        </w:rPr>
        <w:t xml:space="preserve"> </w:t>
      </w:r>
    </w:p>
    <w:p w14:paraId="5B24D2A8" w14:textId="77777777" w:rsidR="00013775" w:rsidRPr="00013775" w:rsidRDefault="00013775" w:rsidP="00013775">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EB2596A" w14:textId="77777777" w:rsidR="00013775" w:rsidRPr="00013775" w:rsidRDefault="00013775" w:rsidP="00013775">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013775">
        <w:rPr>
          <w:rFonts w:ascii="Asap SemiBold" w:hAnsi="Asap SemiBold" w:cs="Asap SemiBold"/>
          <w:b/>
          <w:bCs/>
          <w:color w:val="000000"/>
          <w:w w:val="90"/>
          <w:sz w:val="15"/>
          <w:szCs w:val="15"/>
          <w:lang w:val="es-ES_tradnl"/>
        </w:rPr>
        <w:t>Notas:</w:t>
      </w:r>
    </w:p>
    <w:p w14:paraId="0B1CFDF2"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Los tours pueden ser cancelados sin previo aviso.</w:t>
      </w:r>
    </w:p>
    <w:p w14:paraId="7246D67F"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El orden de las visitas está sujeto a cambio.</w:t>
      </w:r>
    </w:p>
    <w:p w14:paraId="229FBF13"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Se permite 1 maleta y 1 bolso de mano por persona.</w:t>
      </w:r>
    </w:p>
    <w:p w14:paraId="6571F5F8"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Vuelos con llegada a Israel entre las 23:00-06:00 hrs, tendrán suplemento.</w:t>
      </w:r>
    </w:p>
    <w:p w14:paraId="5FF62287"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No habrá cenas después de las 20:30 hrs, ni reembolso.</w:t>
      </w:r>
    </w:p>
    <w:p w14:paraId="0097836B"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La entrada a Yad Vashem (Memorial del Holocausto) no está permitida a menores de 10 año.</w:t>
      </w:r>
    </w:p>
    <w:p w14:paraId="4F994256"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Las excursiones opcionales deben ser reservadas y pagadas por adelantado.</w:t>
      </w:r>
    </w:p>
    <w:p w14:paraId="4592CC5D"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 xml:space="preserve">Jordania no permite la entrada de ningún objeto religioso de cualquier religión. </w:t>
      </w:r>
    </w:p>
    <w:p w14:paraId="2BB6D90A"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 xml:space="preserve">Para visitar Jordania es necesario emitir visa. Hay que tramitarla con un mínimo de 21 días antes del comienzo del tour. </w:t>
      </w:r>
    </w:p>
    <w:p w14:paraId="20B11287"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Se precisa copia clara de los pasaportes y enviar a la hora de hacer la reserva.</w:t>
      </w:r>
    </w:p>
    <w:p w14:paraId="442079DE" w14:textId="77777777" w:rsidR="00013775" w:rsidRPr="00013775" w:rsidRDefault="00013775" w:rsidP="00013775">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013775">
        <w:rPr>
          <w:rFonts w:ascii="Asap" w:hAnsi="Asap" w:cs="Asap"/>
          <w:color w:val="000000"/>
          <w:w w:val="90"/>
          <w:sz w:val="15"/>
          <w:szCs w:val="15"/>
          <w:lang w:val="es-ES_tradnl"/>
        </w:rPr>
        <w:t>-</w:t>
      </w:r>
      <w:r w:rsidRPr="00013775">
        <w:rPr>
          <w:rFonts w:ascii="Asap" w:hAnsi="Asap" w:cs="Asap"/>
          <w:color w:val="000000"/>
          <w:w w:val="90"/>
          <w:sz w:val="15"/>
          <w:szCs w:val="15"/>
          <w:lang w:val="es-ES_tradnl"/>
        </w:rPr>
        <w:tab/>
        <w:t>En el mes de Ramadán los cruces de fronteras llevan mas tiempo de lo habitual.</w:t>
      </w:r>
    </w:p>
    <w:p w14:paraId="2CF015A9" w14:textId="77777777" w:rsidR="00013775" w:rsidRDefault="00013775" w:rsidP="00013775">
      <w:pPr>
        <w:pStyle w:val="notaitinerarioguionitinerario"/>
      </w:pPr>
      <w:r>
        <w:t>-</w:t>
      </w:r>
      <w:r>
        <w:tab/>
        <w:t>En el mes de Ramadán y festivos religiosos no se sirve alcohol.</w:t>
      </w:r>
    </w:p>
    <w:p w14:paraId="117BD056" w14:textId="77777777" w:rsidR="00013775" w:rsidRDefault="00013775" w:rsidP="00013775">
      <w:pPr>
        <w:pStyle w:val="notaitinerarioguionitinerario"/>
      </w:pPr>
    </w:p>
    <w:p w14:paraId="55F421D9"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p>
    <w:p w14:paraId="11C35AED" w14:textId="77777777" w:rsidR="00013775" w:rsidRPr="00013775" w:rsidRDefault="00013775" w:rsidP="00013775">
      <w:pPr>
        <w:autoSpaceDE w:val="0"/>
        <w:autoSpaceDN w:val="0"/>
        <w:adjustRightInd w:val="0"/>
        <w:spacing w:line="200" w:lineRule="atLeast"/>
        <w:jc w:val="both"/>
        <w:textAlignment w:val="center"/>
        <w:rPr>
          <w:rFonts w:ascii="Asap" w:hAnsi="Asap" w:cs="Asap"/>
          <w:i/>
          <w:iCs/>
          <w:color w:val="000000"/>
          <w:sz w:val="17"/>
          <w:szCs w:val="17"/>
          <w:lang w:val="es-ES_tradnl"/>
        </w:rPr>
      </w:pPr>
      <w:r w:rsidRPr="00013775">
        <w:rPr>
          <w:rFonts w:ascii="Asap" w:hAnsi="Asap" w:cs="Asap"/>
          <w:i/>
          <w:iCs/>
          <w:color w:val="000000"/>
          <w:sz w:val="17"/>
          <w:szCs w:val="17"/>
          <w:lang w:val="es-ES_tradnl"/>
        </w:rPr>
        <w:t>Miércoles</w:t>
      </w:r>
    </w:p>
    <w:p w14:paraId="0E83E874" w14:textId="77777777" w:rsidR="00013775" w:rsidRDefault="00013775"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5796003" w14:textId="77777777" w:rsidR="0036441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C6543EE" w14:textId="77777777" w:rsidR="0036441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3EBF094" w14:textId="77777777" w:rsidR="0036441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D7945EA" w14:textId="77777777" w:rsidR="0036441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07C0E47" w14:textId="77777777" w:rsidR="0036441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23CA5C5" w14:textId="77777777" w:rsidR="0036441B" w:rsidRPr="00EE5CAB" w:rsidRDefault="0036441B" w:rsidP="00013775">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BB0203A"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lastRenderedPageBreak/>
        <w:t>Incluye</w:t>
      </w:r>
    </w:p>
    <w:p w14:paraId="6ED12A9B"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Traslados llegada/Ben Gurion, salida/Amán.</w:t>
      </w:r>
    </w:p>
    <w:p w14:paraId="695C7ED5"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Traslados con chofer de habla inglesa.</w:t>
      </w:r>
    </w:p>
    <w:p w14:paraId="1C7A9B68"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Desayuno diario. 3 cenas.</w:t>
      </w:r>
    </w:p>
    <w:p w14:paraId="26A89915"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Excursión en Bus/Minibus con guía de habla hispana.</w:t>
      </w:r>
    </w:p>
    <w:p w14:paraId="2D058C3A"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Entradas a los lugares de visita según el programa.</w:t>
      </w:r>
    </w:p>
    <w:p w14:paraId="48E15F7E"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Asistencia al viajero 24 hrs.</w:t>
      </w:r>
    </w:p>
    <w:p w14:paraId="09193720" w14:textId="77777777" w:rsidR="00013775" w:rsidRDefault="00013775" w:rsidP="00013775">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7646BA4"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52824214"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 xml:space="preserve"> Tasas de frontera Israel-Jordania, Sheik Hussein (Jordania), ni visas. Pago en destino.</w:t>
      </w:r>
    </w:p>
    <w:p w14:paraId="6A2DC863" w14:textId="77777777" w:rsidR="00013775" w:rsidRDefault="00013775" w:rsidP="00013775">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96D76F9" w14:textId="77777777" w:rsidR="00013775" w:rsidRPr="005E18EC"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777A15B5" w14:textId="77777777" w:rsidR="00013775" w:rsidRPr="00013775" w:rsidRDefault="00013775" w:rsidP="00013775">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013775">
        <w:rPr>
          <w:rFonts w:ascii="Asap" w:hAnsi="Asap" w:cs="Asap"/>
          <w:i/>
          <w:iCs/>
          <w:color w:val="000000"/>
          <w:w w:val="95"/>
          <w:sz w:val="17"/>
          <w:szCs w:val="17"/>
          <w:lang w:val="es-ES_tradnl"/>
        </w:rPr>
        <w:t>•</w:t>
      </w:r>
      <w:r w:rsidRPr="00013775">
        <w:rPr>
          <w:rFonts w:ascii="Asap" w:hAnsi="Asap" w:cs="Asap"/>
          <w:i/>
          <w:iCs/>
          <w:color w:val="000000"/>
          <w:w w:val="95"/>
          <w:sz w:val="17"/>
          <w:szCs w:val="17"/>
          <w:lang w:val="es-ES_tradnl"/>
        </w:rPr>
        <w:tab/>
        <w:t>Propinas a guías 4$ y chóferes 3$ por persona y día.</w:t>
      </w:r>
    </w:p>
    <w:p w14:paraId="219FA649" w14:textId="77777777" w:rsidR="00013775"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4BAF6CB"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2665"/>
        <w:gridCol w:w="1530"/>
        <w:gridCol w:w="1531"/>
        <w:gridCol w:w="1531"/>
      </w:tblGrid>
      <w:tr w:rsidR="00013775" w:rsidRPr="00013775" w14:paraId="5C07FC17" w14:textId="77777777">
        <w:trPr>
          <w:trHeight w:val="191"/>
        </w:trPr>
        <w:tc>
          <w:tcPr>
            <w:tcW w:w="2665" w:type="dxa"/>
            <w:tcBorders>
              <w:top w:val="single" w:sz="6" w:space="0" w:color="FFFFFF"/>
              <w:left w:val="single" w:sz="6" w:space="0" w:color="000000"/>
              <w:bottom w:val="single" w:sz="5" w:space="0" w:color="D9000D"/>
              <w:right w:val="single" w:sz="6" w:space="0" w:color="000000"/>
            </w:tcBorders>
            <w:tcMar>
              <w:top w:w="0" w:type="dxa"/>
              <w:left w:w="0" w:type="dxa"/>
              <w:bottom w:w="57" w:type="dxa"/>
              <w:right w:w="0" w:type="dxa"/>
            </w:tcMar>
          </w:tcPr>
          <w:p w14:paraId="139A8D09" w14:textId="77777777" w:rsidR="00013775" w:rsidRPr="00013775" w:rsidRDefault="00013775" w:rsidP="00013775">
            <w:pPr>
              <w:autoSpaceDE w:val="0"/>
              <w:autoSpaceDN w:val="0"/>
              <w:adjustRightInd w:val="0"/>
              <w:rPr>
                <w:rFonts w:ascii="Helvetica" w:hAnsi="Helvetica"/>
                <w:lang w:val="es-ES_tradnl"/>
              </w:rPr>
            </w:pPr>
          </w:p>
        </w:tc>
        <w:tc>
          <w:tcPr>
            <w:tcW w:w="1530" w:type="dxa"/>
            <w:tcBorders>
              <w:top w:val="single" w:sz="6" w:space="0" w:color="FFFFFF"/>
              <w:left w:val="single" w:sz="6" w:space="0" w:color="000000"/>
              <w:bottom w:val="single" w:sz="5" w:space="0" w:color="D9000D"/>
              <w:right w:val="single" w:sz="6" w:space="0" w:color="3F3F3F"/>
            </w:tcBorders>
            <w:tcMar>
              <w:top w:w="0" w:type="dxa"/>
              <w:left w:w="0" w:type="dxa"/>
              <w:bottom w:w="57" w:type="dxa"/>
              <w:right w:w="0" w:type="dxa"/>
            </w:tcMar>
            <w:vAlign w:val="center"/>
          </w:tcPr>
          <w:p w14:paraId="2B214A18"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SemiBold" w:hAnsi="Asap SemiBold" w:cs="Asap SemiBold"/>
                <w:b/>
                <w:bCs/>
                <w:i/>
                <w:iCs/>
                <w:color w:val="000000"/>
                <w:spacing w:val="-2"/>
                <w:w w:val="90"/>
                <w:sz w:val="17"/>
                <w:szCs w:val="17"/>
                <w:lang w:val="es-ES_tradnl"/>
              </w:rPr>
              <w:t>Turista Superior</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37243A8F"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SemiBold" w:hAnsi="Asap SemiBold" w:cs="Asap SemiBold"/>
                <w:b/>
                <w:bCs/>
                <w:i/>
                <w:iCs/>
                <w:color w:val="000000"/>
                <w:spacing w:val="-2"/>
                <w:w w:val="90"/>
                <w:sz w:val="17"/>
                <w:szCs w:val="17"/>
                <w:lang w:val="es-ES_tradnl"/>
              </w:rPr>
              <w:t xml:space="preserve">Primera </w:t>
            </w:r>
          </w:p>
        </w:tc>
        <w:tc>
          <w:tcPr>
            <w:tcW w:w="1531" w:type="dxa"/>
            <w:tcBorders>
              <w:top w:val="single" w:sz="6" w:space="0" w:color="FFFFFF"/>
              <w:left w:val="single" w:sz="6" w:space="0" w:color="D9000D"/>
              <w:bottom w:val="single" w:sz="5" w:space="0" w:color="D9000D"/>
              <w:right w:val="single" w:sz="6" w:space="0" w:color="3F3F3F"/>
            </w:tcBorders>
            <w:tcMar>
              <w:top w:w="0" w:type="dxa"/>
              <w:left w:w="0" w:type="dxa"/>
              <w:bottom w:w="57" w:type="dxa"/>
              <w:right w:w="0" w:type="dxa"/>
            </w:tcMar>
            <w:vAlign w:val="center"/>
          </w:tcPr>
          <w:p w14:paraId="03E75080"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SemiBold" w:hAnsi="Asap SemiBold" w:cs="Asap SemiBold"/>
                <w:b/>
                <w:bCs/>
                <w:i/>
                <w:iCs/>
                <w:color w:val="000000"/>
                <w:spacing w:val="-2"/>
                <w:w w:val="90"/>
                <w:sz w:val="17"/>
                <w:szCs w:val="17"/>
                <w:lang w:val="es-ES_tradnl"/>
              </w:rPr>
              <w:t>Primera Superior</w:t>
            </w:r>
          </w:p>
        </w:tc>
      </w:tr>
      <w:tr w:rsidR="00013775" w:rsidRPr="00013775" w14:paraId="0643D9D3" w14:textId="77777777">
        <w:trPr>
          <w:trHeight w:hRule="exact" w:val="60"/>
        </w:trPr>
        <w:tc>
          <w:tcPr>
            <w:tcW w:w="2665" w:type="dxa"/>
            <w:tcBorders>
              <w:top w:val="single" w:sz="5"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395EE409" w14:textId="77777777" w:rsidR="00013775" w:rsidRPr="00013775" w:rsidRDefault="00013775" w:rsidP="00013775">
            <w:pPr>
              <w:autoSpaceDE w:val="0"/>
              <w:autoSpaceDN w:val="0"/>
              <w:adjustRightInd w:val="0"/>
              <w:rPr>
                <w:rFonts w:ascii="Helvetica" w:hAnsi="Helvetica"/>
                <w:lang w:val="es-ES_tradnl"/>
              </w:rPr>
            </w:pPr>
          </w:p>
        </w:tc>
        <w:tc>
          <w:tcPr>
            <w:tcW w:w="1530" w:type="dxa"/>
            <w:tcBorders>
              <w:top w:val="single" w:sz="5"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085EF368" w14:textId="77777777" w:rsidR="00013775" w:rsidRPr="00013775" w:rsidRDefault="00013775" w:rsidP="00013775">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3DAC90DB" w14:textId="77777777" w:rsidR="00013775" w:rsidRPr="00013775" w:rsidRDefault="00013775" w:rsidP="00013775">
            <w:pPr>
              <w:autoSpaceDE w:val="0"/>
              <w:autoSpaceDN w:val="0"/>
              <w:adjustRightInd w:val="0"/>
              <w:rPr>
                <w:rFonts w:ascii="Helvetica" w:hAnsi="Helvetica"/>
                <w:lang w:val="es-ES_tradnl"/>
              </w:rPr>
            </w:pPr>
          </w:p>
        </w:tc>
        <w:tc>
          <w:tcPr>
            <w:tcW w:w="1531" w:type="dxa"/>
            <w:tcBorders>
              <w:top w:val="single" w:sz="5"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203E049E" w14:textId="77777777" w:rsidR="00013775" w:rsidRPr="00013775" w:rsidRDefault="00013775" w:rsidP="00013775">
            <w:pPr>
              <w:autoSpaceDE w:val="0"/>
              <w:autoSpaceDN w:val="0"/>
              <w:adjustRightInd w:val="0"/>
              <w:rPr>
                <w:rFonts w:ascii="Helvetica" w:hAnsi="Helvetica"/>
                <w:lang w:val="es-ES_tradnl"/>
              </w:rPr>
            </w:pPr>
          </w:p>
        </w:tc>
      </w:tr>
      <w:tr w:rsidR="00013775" w:rsidRPr="00013775" w14:paraId="2AB51669"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74081E82" w14:textId="77777777" w:rsidR="00013775" w:rsidRPr="00013775" w:rsidRDefault="00013775" w:rsidP="00013775">
            <w:pPr>
              <w:autoSpaceDE w:val="0"/>
              <w:autoSpaceDN w:val="0"/>
              <w:adjustRightInd w:val="0"/>
              <w:spacing w:line="288" w:lineRule="auto"/>
              <w:textAlignment w:val="center"/>
              <w:rPr>
                <w:rFonts w:ascii="Minion Pro" w:hAnsi="Minion Pro" w:cs="Minion Pro"/>
                <w:color w:val="000000"/>
                <w:lang w:val="es-ES_tradnl"/>
              </w:rPr>
            </w:pPr>
            <w:r w:rsidRPr="00013775">
              <w:rPr>
                <w:rFonts w:ascii="Asap" w:hAnsi="Asap" w:cs="Asap"/>
                <w:i/>
                <w:iCs/>
                <w:color w:val="000000"/>
                <w:spacing w:val="2"/>
                <w:w w:val="90"/>
                <w:sz w:val="15"/>
                <w:szCs w:val="15"/>
                <w:lang w:val="es-ES_tradnl"/>
              </w:rPr>
              <w:t>Jerusalén</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76875D88"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spacing w:val="2"/>
                <w:w w:val="90"/>
                <w:sz w:val="15"/>
                <w:szCs w:val="15"/>
                <w:lang w:val="es-ES_tradnl"/>
              </w:rPr>
              <w:t xml:space="preserve">Prima Park / </w:t>
            </w:r>
            <w:r w:rsidRPr="00013775">
              <w:rPr>
                <w:rFonts w:ascii="Asap" w:hAnsi="Asap" w:cs="Asap"/>
                <w:i/>
                <w:iCs/>
                <w:color w:val="000000"/>
                <w:spacing w:val="2"/>
                <w:w w:val="90"/>
                <w:sz w:val="15"/>
                <w:szCs w:val="15"/>
                <w:lang w:val="es-ES_tradnl"/>
              </w:rPr>
              <w:br/>
              <w:t>Caesar</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421C116F" w14:textId="77777777" w:rsidR="00013775" w:rsidRPr="00013775" w:rsidRDefault="00013775" w:rsidP="00013775">
            <w:pPr>
              <w:autoSpaceDE w:val="0"/>
              <w:autoSpaceDN w:val="0"/>
              <w:adjustRightInd w:val="0"/>
              <w:spacing w:line="288" w:lineRule="auto"/>
              <w:jc w:val="center"/>
              <w:textAlignment w:val="center"/>
              <w:rPr>
                <w:rFonts w:ascii="Asap" w:hAnsi="Asap" w:cs="Asap"/>
                <w:i/>
                <w:iCs/>
                <w:color w:val="000000"/>
                <w:w w:val="90"/>
                <w:sz w:val="15"/>
                <w:szCs w:val="15"/>
                <w:lang w:val="es-ES_tradnl"/>
              </w:rPr>
            </w:pPr>
            <w:r w:rsidRPr="00013775">
              <w:rPr>
                <w:rFonts w:ascii="Asap" w:hAnsi="Asap" w:cs="Asap"/>
                <w:i/>
                <w:iCs/>
                <w:color w:val="000000"/>
                <w:w w:val="90"/>
                <w:sz w:val="15"/>
                <w:szCs w:val="15"/>
                <w:lang w:val="es-ES_tradnl"/>
              </w:rPr>
              <w:t xml:space="preserve">Grand Court / </w:t>
            </w:r>
          </w:p>
          <w:p w14:paraId="49D59FDF"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w w:val="90"/>
                <w:sz w:val="15"/>
                <w:szCs w:val="15"/>
                <w:lang w:val="es-ES_tradnl"/>
              </w:rPr>
              <w:t>Prima Royale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236311F8"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spacing w:val="-2"/>
                <w:w w:val="90"/>
                <w:sz w:val="15"/>
                <w:szCs w:val="15"/>
                <w:lang w:val="es-ES_tradnl"/>
              </w:rPr>
              <w:t>Vert</w:t>
            </w:r>
          </w:p>
        </w:tc>
      </w:tr>
      <w:tr w:rsidR="00013775" w:rsidRPr="00013775" w14:paraId="4D3B288E"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00298048" w14:textId="77777777" w:rsidR="00013775" w:rsidRPr="00013775" w:rsidRDefault="00013775" w:rsidP="00013775">
            <w:pPr>
              <w:autoSpaceDE w:val="0"/>
              <w:autoSpaceDN w:val="0"/>
              <w:adjustRightInd w:val="0"/>
              <w:spacing w:line="288" w:lineRule="auto"/>
              <w:textAlignment w:val="center"/>
              <w:rPr>
                <w:rFonts w:ascii="Minion Pro" w:hAnsi="Minion Pro" w:cs="Minion Pro"/>
                <w:color w:val="000000"/>
                <w:lang w:val="es-ES_tradnl"/>
              </w:rPr>
            </w:pPr>
            <w:r w:rsidRPr="00013775">
              <w:rPr>
                <w:rFonts w:ascii="Asap" w:hAnsi="Asap" w:cs="Asap"/>
                <w:i/>
                <w:iCs/>
                <w:color w:val="000000"/>
                <w:w w:val="90"/>
                <w:sz w:val="15"/>
                <w:szCs w:val="15"/>
                <w:lang w:val="es-ES_tradnl"/>
              </w:rPr>
              <w:t>Ammán</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532AFE3B"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spacing w:val="2"/>
                <w:w w:val="90"/>
                <w:sz w:val="15"/>
                <w:szCs w:val="15"/>
                <w:lang w:val="es-ES_tradnl"/>
              </w:rPr>
              <w:t>Mena Tyche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3368007E"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w w:val="90"/>
                <w:sz w:val="15"/>
                <w:szCs w:val="15"/>
                <w:lang w:val="es-ES_tradnl"/>
              </w:rPr>
              <w:t>Bristol</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37E7A895"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spacing w:val="-2"/>
                <w:w w:val="90"/>
                <w:sz w:val="15"/>
                <w:szCs w:val="15"/>
                <w:lang w:val="es-ES_tradnl"/>
              </w:rPr>
              <w:t>Kempinski</w:t>
            </w:r>
          </w:p>
        </w:tc>
      </w:tr>
      <w:tr w:rsidR="00013775" w:rsidRPr="00013775" w14:paraId="3C6B1721" w14:textId="77777777">
        <w:trPr>
          <w:trHeight w:val="191"/>
        </w:trPr>
        <w:tc>
          <w:tcPr>
            <w:tcW w:w="2665" w:type="dxa"/>
            <w:tcBorders>
              <w:top w:val="single" w:sz="6" w:space="0" w:color="D9000D"/>
              <w:left w:val="single" w:sz="6" w:space="0" w:color="000000"/>
              <w:bottom w:val="single" w:sz="6" w:space="0" w:color="D9000D"/>
              <w:right w:val="single" w:sz="6" w:space="0" w:color="000000"/>
            </w:tcBorders>
            <w:tcMar>
              <w:top w:w="28" w:type="dxa"/>
              <w:left w:w="0" w:type="dxa"/>
              <w:bottom w:w="28" w:type="dxa"/>
              <w:right w:w="0" w:type="dxa"/>
            </w:tcMar>
            <w:vAlign w:val="center"/>
          </w:tcPr>
          <w:p w14:paraId="718FB3EA" w14:textId="77777777" w:rsidR="00013775" w:rsidRPr="00013775" w:rsidRDefault="00013775" w:rsidP="00013775">
            <w:pPr>
              <w:autoSpaceDE w:val="0"/>
              <w:autoSpaceDN w:val="0"/>
              <w:adjustRightInd w:val="0"/>
              <w:spacing w:line="288" w:lineRule="auto"/>
              <w:textAlignment w:val="center"/>
              <w:rPr>
                <w:rFonts w:ascii="Minion Pro" w:hAnsi="Minion Pro" w:cs="Minion Pro"/>
                <w:color w:val="000000"/>
                <w:lang w:val="es-ES_tradnl"/>
              </w:rPr>
            </w:pPr>
            <w:r w:rsidRPr="00013775">
              <w:rPr>
                <w:rFonts w:ascii="Asap" w:hAnsi="Asap" w:cs="Asap"/>
                <w:i/>
                <w:iCs/>
                <w:color w:val="000000"/>
                <w:w w:val="90"/>
                <w:sz w:val="15"/>
                <w:szCs w:val="15"/>
                <w:lang w:val="es-ES_tradnl"/>
              </w:rPr>
              <w:t>Petra</w:t>
            </w:r>
          </w:p>
        </w:tc>
        <w:tc>
          <w:tcPr>
            <w:tcW w:w="1530" w:type="dxa"/>
            <w:tcBorders>
              <w:top w:val="single" w:sz="6" w:space="0" w:color="D9000D"/>
              <w:left w:val="single" w:sz="6" w:space="0" w:color="000000"/>
              <w:bottom w:val="single" w:sz="6" w:space="0" w:color="D9000D"/>
              <w:right w:val="single" w:sz="6" w:space="0" w:color="3F3F3F"/>
            </w:tcBorders>
            <w:tcMar>
              <w:top w:w="28" w:type="dxa"/>
              <w:left w:w="0" w:type="dxa"/>
              <w:bottom w:w="28" w:type="dxa"/>
              <w:right w:w="0" w:type="dxa"/>
            </w:tcMar>
            <w:vAlign w:val="center"/>
          </w:tcPr>
          <w:p w14:paraId="30F5FA2A"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s-ES_tradnl"/>
              </w:rPr>
            </w:pPr>
            <w:r w:rsidRPr="00013775">
              <w:rPr>
                <w:rFonts w:ascii="Asap" w:hAnsi="Asap" w:cs="Asap"/>
                <w:i/>
                <w:iCs/>
                <w:color w:val="000000"/>
                <w:spacing w:val="2"/>
                <w:w w:val="90"/>
                <w:sz w:val="15"/>
                <w:szCs w:val="15"/>
                <w:lang w:val="es-ES_tradnl"/>
              </w:rPr>
              <w:t>Petra Panorama</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678AF54C"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n-US"/>
              </w:rPr>
            </w:pPr>
            <w:r w:rsidRPr="00013775">
              <w:rPr>
                <w:rFonts w:ascii="Asap" w:hAnsi="Asap" w:cs="Asap"/>
                <w:i/>
                <w:iCs/>
                <w:color w:val="000000"/>
                <w:w w:val="90"/>
                <w:sz w:val="15"/>
                <w:szCs w:val="15"/>
                <w:lang w:val="en-US"/>
              </w:rPr>
              <w:t xml:space="preserve">Hayat Zaman / </w:t>
            </w:r>
            <w:r w:rsidRPr="00013775">
              <w:rPr>
                <w:rFonts w:ascii="Asap" w:hAnsi="Asap" w:cs="Asap"/>
                <w:i/>
                <w:iCs/>
                <w:color w:val="000000"/>
                <w:w w:val="90"/>
                <w:sz w:val="15"/>
                <w:szCs w:val="15"/>
                <w:lang w:val="en-US"/>
              </w:rPr>
              <w:br/>
              <w:t>The Old Village</w:t>
            </w:r>
          </w:p>
        </w:tc>
        <w:tc>
          <w:tcPr>
            <w:tcW w:w="1531" w:type="dxa"/>
            <w:tcBorders>
              <w:top w:val="single" w:sz="6" w:space="0" w:color="D9000D"/>
              <w:left w:val="single" w:sz="6" w:space="0" w:color="D9000D"/>
              <w:bottom w:val="single" w:sz="6" w:space="0" w:color="D9000D"/>
              <w:right w:val="single" w:sz="6" w:space="0" w:color="3F3F3F"/>
            </w:tcBorders>
            <w:tcMar>
              <w:top w:w="28" w:type="dxa"/>
              <w:left w:w="0" w:type="dxa"/>
              <w:bottom w:w="28" w:type="dxa"/>
              <w:right w:w="0" w:type="dxa"/>
            </w:tcMar>
            <w:vAlign w:val="center"/>
          </w:tcPr>
          <w:p w14:paraId="58F14EDB" w14:textId="77777777" w:rsidR="00013775" w:rsidRPr="00013775" w:rsidRDefault="00013775" w:rsidP="00013775">
            <w:pPr>
              <w:autoSpaceDE w:val="0"/>
              <w:autoSpaceDN w:val="0"/>
              <w:adjustRightInd w:val="0"/>
              <w:spacing w:line="288" w:lineRule="auto"/>
              <w:jc w:val="center"/>
              <w:textAlignment w:val="center"/>
              <w:rPr>
                <w:rFonts w:ascii="Minion Pro" w:hAnsi="Minion Pro" w:cs="Minion Pro"/>
                <w:color w:val="000000"/>
                <w:lang w:val="en-US"/>
              </w:rPr>
            </w:pPr>
            <w:r w:rsidRPr="00013775">
              <w:rPr>
                <w:rFonts w:ascii="Asap" w:hAnsi="Asap" w:cs="Asap"/>
                <w:i/>
                <w:iCs/>
                <w:color w:val="000000"/>
                <w:w w:val="90"/>
                <w:sz w:val="15"/>
                <w:szCs w:val="15"/>
                <w:lang w:val="en-US"/>
              </w:rPr>
              <w:t xml:space="preserve">Hayat Zaman / </w:t>
            </w:r>
            <w:r w:rsidRPr="00013775">
              <w:rPr>
                <w:rFonts w:ascii="Asap" w:hAnsi="Asap" w:cs="Asap"/>
                <w:i/>
                <w:iCs/>
                <w:color w:val="000000"/>
                <w:w w:val="90"/>
                <w:sz w:val="15"/>
                <w:szCs w:val="15"/>
                <w:lang w:val="en-US"/>
              </w:rPr>
              <w:br/>
              <w:t>The Old Village</w:t>
            </w:r>
          </w:p>
        </w:tc>
      </w:tr>
    </w:tbl>
    <w:p w14:paraId="73631238" w14:textId="77777777" w:rsidR="00013775" w:rsidRPr="00013775" w:rsidRDefault="00013775" w:rsidP="00013775">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n-US"/>
        </w:rPr>
      </w:pPr>
    </w:p>
    <w:p w14:paraId="3ABEE841" w14:textId="77777777" w:rsidR="00013775" w:rsidRPr="00BF6700" w:rsidRDefault="00013775" w:rsidP="00013775">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665"/>
        <w:gridCol w:w="900"/>
        <w:gridCol w:w="630"/>
        <w:gridCol w:w="901"/>
        <w:gridCol w:w="630"/>
        <w:gridCol w:w="900"/>
        <w:gridCol w:w="631"/>
      </w:tblGrid>
      <w:tr w:rsidR="00013775" w:rsidRPr="00013775" w14:paraId="733755D9"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48E0CD78" w14:textId="77777777" w:rsidR="00013775" w:rsidRPr="00013775" w:rsidRDefault="00013775" w:rsidP="00013775">
            <w:pPr>
              <w:autoSpaceDE w:val="0"/>
              <w:autoSpaceDN w:val="0"/>
              <w:adjustRightInd w:val="0"/>
              <w:spacing w:line="288" w:lineRule="auto"/>
              <w:jc w:val="both"/>
              <w:textAlignment w:val="center"/>
              <w:rPr>
                <w:rFonts w:ascii="Asap SemiBold" w:hAnsi="Asap SemiBold"/>
                <w:color w:val="000000"/>
                <w:lang w:val="es-ES_tradnl"/>
              </w:rPr>
            </w:pPr>
            <w:r w:rsidRPr="00013775">
              <w:rPr>
                <w:rFonts w:ascii="Asap SemiBold" w:hAnsi="Asap SemiBold" w:cs="Asap SemiBold"/>
                <w:b/>
                <w:bCs/>
                <w:color w:val="000000"/>
                <w:spacing w:val="-2"/>
                <w:w w:val="90"/>
                <w:sz w:val="17"/>
                <w:szCs w:val="17"/>
                <w:lang w:val="es-ES_tradnl"/>
              </w:rPr>
              <w:t xml:space="preserve">Marzo: 8, 15, 22, 29  Abril: 19, 26  Diciembre: 6, 13, 20, 27  2024 Enero: 10, 17, 24, 31  Febrero: 7, 14, 21, 28 </w:t>
            </w:r>
          </w:p>
        </w:tc>
      </w:tr>
      <w:tr w:rsidR="00013775" w:rsidRPr="00013775" w14:paraId="2DE5AE94"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2CE55D32"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76350846" w14:textId="61FB91E2"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w:t>
            </w:r>
            <w:r w:rsidR="002A1913">
              <w:rPr>
                <w:rFonts w:ascii="Asap" w:hAnsi="Asap" w:cs="Asap"/>
                <w:color w:val="000000"/>
                <w:sz w:val="18"/>
                <w:szCs w:val="18"/>
                <w:lang w:val="es-ES_tradnl"/>
              </w:rPr>
              <w:t>7</w:t>
            </w:r>
            <w:r w:rsidRPr="00013775">
              <w:rPr>
                <w:rFonts w:ascii="Asap" w:hAnsi="Asap" w:cs="Asap"/>
                <w:color w:val="000000"/>
                <w:sz w:val="18"/>
                <w:szCs w:val="18"/>
                <w:lang w:val="es-ES_tradnl"/>
              </w:rPr>
              <w:t xml:space="preserve">50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B8B5FB6"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CE3B3BD" w14:textId="36A33562"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w:t>
            </w:r>
            <w:r w:rsidR="002A1913">
              <w:rPr>
                <w:rFonts w:ascii="Asap" w:hAnsi="Asap" w:cs="Asap"/>
                <w:color w:val="000000"/>
                <w:sz w:val="18"/>
                <w:szCs w:val="18"/>
                <w:lang w:val="es-ES_tradnl"/>
              </w:rPr>
              <w:t>8</w:t>
            </w:r>
            <w:r w:rsidRPr="00013775">
              <w:rPr>
                <w:rFonts w:ascii="Asap" w:hAnsi="Asap" w:cs="Asap"/>
                <w:color w:val="000000"/>
                <w:sz w:val="18"/>
                <w:szCs w:val="18"/>
                <w:lang w:val="es-ES_tradnl"/>
              </w:rPr>
              <w:t xml:space="preserve">90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67345C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F48E79E" w14:textId="1EE4E4AA"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2.</w:t>
            </w:r>
            <w:r w:rsidR="002A1913">
              <w:rPr>
                <w:rFonts w:ascii="Asap" w:hAnsi="Asap" w:cs="Asap"/>
                <w:color w:val="000000"/>
                <w:sz w:val="18"/>
                <w:szCs w:val="18"/>
                <w:lang w:val="es-ES_tradnl"/>
              </w:rPr>
              <w:t>1</w:t>
            </w:r>
            <w:r w:rsidRPr="00013775">
              <w:rPr>
                <w:rFonts w:ascii="Asap" w:hAnsi="Asap" w:cs="Asap"/>
                <w:color w:val="000000"/>
                <w:sz w:val="18"/>
                <w:szCs w:val="18"/>
                <w:lang w:val="es-ES_tradnl"/>
              </w:rPr>
              <w:t xml:space="preserve">75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AEA69B3"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39F00602"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5F67203B"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24C67AE"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880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18323570"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938B824"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1.050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FFD2E98"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EF15E2D"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1.340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CB6BFFC"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2556A143"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48233E16"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B11B726"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140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1ABE886"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B042D9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A564D60"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0BE35364"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B02CBF1"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41E6B654"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07755079"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spacing w:val="-3"/>
                <w:w w:val="90"/>
                <w:sz w:val="17"/>
                <w:szCs w:val="17"/>
                <w:lang w:val="es-ES_tradnl"/>
              </w:rPr>
              <w:t>Supl. salidas Dic: 20, 27 (festivo Jordania)</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3A9CF03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95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1B89260"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0D4344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170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7E68BF8"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2946C75"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250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311834C"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469C4856"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4AED8570" w14:textId="77777777" w:rsidR="00013775" w:rsidRPr="00013775" w:rsidRDefault="00013775" w:rsidP="00013775">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013775">
              <w:rPr>
                <w:rFonts w:ascii="Asap SemiBold" w:hAnsi="Asap SemiBold" w:cs="Asap SemiBold"/>
                <w:b/>
                <w:bCs/>
                <w:color w:val="000000"/>
                <w:spacing w:val="-2"/>
                <w:w w:val="90"/>
                <w:sz w:val="17"/>
                <w:szCs w:val="17"/>
                <w:lang w:val="es-ES_tradnl"/>
              </w:rPr>
              <w:t xml:space="preserve">Mayo: 3, 10, 17, 31  Junio: 7, 14, 21, 28  Julio: 5, 12, 19, 26  </w:t>
            </w:r>
          </w:p>
          <w:p w14:paraId="1524FA20" w14:textId="77777777" w:rsidR="00013775" w:rsidRPr="00013775" w:rsidRDefault="00013775" w:rsidP="00013775">
            <w:pPr>
              <w:autoSpaceDE w:val="0"/>
              <w:autoSpaceDN w:val="0"/>
              <w:adjustRightInd w:val="0"/>
              <w:spacing w:line="288" w:lineRule="auto"/>
              <w:jc w:val="both"/>
              <w:textAlignment w:val="center"/>
              <w:rPr>
                <w:rFonts w:ascii="Asap SemiBold" w:hAnsi="Asap SemiBold"/>
                <w:color w:val="000000"/>
                <w:lang w:val="es-ES_tradnl"/>
              </w:rPr>
            </w:pPr>
            <w:r w:rsidRPr="00013775">
              <w:rPr>
                <w:rFonts w:ascii="Asap SemiBold" w:hAnsi="Asap SemiBold" w:cs="Asap SemiBold"/>
                <w:b/>
                <w:bCs/>
                <w:color w:val="000000"/>
                <w:spacing w:val="-2"/>
                <w:w w:val="90"/>
                <w:sz w:val="17"/>
                <w:szCs w:val="17"/>
                <w:lang w:val="es-ES_tradnl"/>
              </w:rPr>
              <w:t>Agosto: 2, 9, 16, 23, 30  Sep: 6, 20, Oct: 11, 18, 25  Nov: 1, 8, 15, 22, 29</w:t>
            </w:r>
          </w:p>
        </w:tc>
      </w:tr>
      <w:tr w:rsidR="00013775" w:rsidRPr="00013775" w14:paraId="705CAF6D"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748FD33F"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CA80714" w14:textId="42B439E9"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w:t>
            </w:r>
            <w:r w:rsidR="002A1913">
              <w:rPr>
                <w:rFonts w:ascii="Asap" w:hAnsi="Asap" w:cs="Asap"/>
                <w:color w:val="000000"/>
                <w:sz w:val="18"/>
                <w:szCs w:val="18"/>
                <w:lang w:val="es-ES_tradnl"/>
              </w:rPr>
              <w:t>8</w:t>
            </w:r>
            <w:r w:rsidRPr="00013775">
              <w:rPr>
                <w:rFonts w:ascii="Asap" w:hAnsi="Asap" w:cs="Asap"/>
                <w:color w:val="000000"/>
                <w:sz w:val="18"/>
                <w:szCs w:val="18"/>
                <w:lang w:val="es-ES_tradnl"/>
              </w:rPr>
              <w:t xml:space="preserve">30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5247962"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3518CC1" w14:textId="77FF76A3"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w:t>
            </w:r>
            <w:r w:rsidR="002A1913">
              <w:rPr>
                <w:rFonts w:ascii="Asap" w:hAnsi="Asap" w:cs="Asap"/>
                <w:color w:val="000000"/>
                <w:sz w:val="18"/>
                <w:szCs w:val="18"/>
                <w:lang w:val="es-ES_tradnl"/>
              </w:rPr>
              <w:t>9</w:t>
            </w:r>
            <w:r w:rsidRPr="00013775">
              <w:rPr>
                <w:rFonts w:ascii="Asap" w:hAnsi="Asap" w:cs="Asap"/>
                <w:color w:val="000000"/>
                <w:sz w:val="18"/>
                <w:szCs w:val="18"/>
                <w:lang w:val="es-ES_tradnl"/>
              </w:rPr>
              <w:t xml:space="preserve">75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A918E06"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D0241B7" w14:textId="019833D4"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2.</w:t>
            </w:r>
            <w:r w:rsidR="002A1913">
              <w:rPr>
                <w:rFonts w:ascii="Asap" w:hAnsi="Asap" w:cs="Asap"/>
                <w:color w:val="000000"/>
                <w:sz w:val="18"/>
                <w:szCs w:val="18"/>
                <w:lang w:val="es-ES_tradnl"/>
              </w:rPr>
              <w:t>3</w:t>
            </w:r>
            <w:r w:rsidRPr="00013775">
              <w:rPr>
                <w:rFonts w:ascii="Asap" w:hAnsi="Asap" w:cs="Asap"/>
                <w:color w:val="000000"/>
                <w:sz w:val="18"/>
                <w:szCs w:val="18"/>
                <w:lang w:val="es-ES_tradnl"/>
              </w:rPr>
              <w:t xml:space="preserve">05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A9FD28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2BF0D961"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EC2EAC0"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06B48EDC"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900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7D94FDC"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46D97EC4"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1.095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0E108DC"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741DA9B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1.420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1051B30"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23507DB5" w14:textId="77777777">
        <w:trPr>
          <w:trHeight w:val="60"/>
        </w:trPr>
        <w:tc>
          <w:tcPr>
            <w:tcW w:w="2665"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51D02904"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39C262EF"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140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15A348D"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C9EFB3C"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A1909EE"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5D9EE732"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34184D0B"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4EC44DCA" w14:textId="77777777">
        <w:trPr>
          <w:trHeight w:val="60"/>
        </w:trPr>
        <w:tc>
          <w:tcPr>
            <w:tcW w:w="7257" w:type="dxa"/>
            <w:gridSpan w:val="7"/>
            <w:tcBorders>
              <w:top w:val="single" w:sz="6" w:space="0" w:color="D9000D"/>
              <w:left w:val="single" w:sz="6" w:space="0" w:color="000000"/>
              <w:bottom w:val="single" w:sz="6" w:space="0" w:color="D9000D"/>
              <w:right w:val="single" w:sz="6" w:space="0" w:color="3F3F3F"/>
            </w:tcBorders>
            <w:tcMar>
              <w:top w:w="17" w:type="dxa"/>
              <w:left w:w="0" w:type="dxa"/>
              <w:bottom w:w="17" w:type="dxa"/>
              <w:right w:w="0" w:type="dxa"/>
            </w:tcMar>
          </w:tcPr>
          <w:p w14:paraId="61F35302" w14:textId="77777777" w:rsidR="00013775" w:rsidRPr="00013775" w:rsidRDefault="00013775" w:rsidP="00013775">
            <w:pPr>
              <w:autoSpaceDE w:val="0"/>
              <w:autoSpaceDN w:val="0"/>
              <w:adjustRightInd w:val="0"/>
              <w:spacing w:line="288" w:lineRule="auto"/>
              <w:jc w:val="both"/>
              <w:textAlignment w:val="center"/>
              <w:rPr>
                <w:rFonts w:ascii="Asap SemiBold" w:hAnsi="Asap SemiBold"/>
                <w:color w:val="000000"/>
                <w:lang w:val="es-ES_tradnl"/>
              </w:rPr>
            </w:pPr>
            <w:r w:rsidRPr="00013775">
              <w:rPr>
                <w:rFonts w:ascii="Asap SemiBold" w:hAnsi="Asap SemiBold" w:cs="Asap SemiBold"/>
                <w:b/>
                <w:bCs/>
                <w:color w:val="000000"/>
                <w:spacing w:val="-2"/>
                <w:w w:val="90"/>
                <w:sz w:val="17"/>
                <w:szCs w:val="17"/>
                <w:lang w:val="es-ES_tradnl"/>
              </w:rPr>
              <w:t xml:space="preserve">Abril: 5, 12  Mayo: 24  Sep: 13, 27  Octubre: 4 </w:t>
            </w:r>
          </w:p>
        </w:tc>
      </w:tr>
      <w:tr w:rsidR="00013775" w:rsidRPr="00013775" w14:paraId="07A8A44B" w14:textId="77777777">
        <w:trPr>
          <w:trHeight w:val="60"/>
        </w:trPr>
        <w:tc>
          <w:tcPr>
            <w:tcW w:w="2665"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5BE924F5"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En habitación doble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1A3BBE65" w14:textId="089D0AE9"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w:t>
            </w:r>
            <w:r w:rsidR="002A1913">
              <w:rPr>
                <w:rFonts w:ascii="Asap" w:hAnsi="Asap" w:cs="Asap"/>
                <w:color w:val="000000"/>
                <w:sz w:val="18"/>
                <w:szCs w:val="18"/>
                <w:lang w:val="es-ES_tradnl"/>
              </w:rPr>
              <w:t>9</w:t>
            </w:r>
            <w:r w:rsidRPr="00013775">
              <w:rPr>
                <w:rFonts w:ascii="Asap" w:hAnsi="Asap" w:cs="Asap"/>
                <w:color w:val="000000"/>
                <w:sz w:val="18"/>
                <w:szCs w:val="18"/>
                <w:lang w:val="es-ES_tradnl"/>
              </w:rPr>
              <w:t xml:space="preserve">15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103F80B"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04F7F30" w14:textId="41AB78E3" w:rsidR="00013775" w:rsidRPr="00013775" w:rsidRDefault="002A1913"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Pr>
                <w:rFonts w:ascii="Asap" w:hAnsi="Asap" w:cs="Asap"/>
                <w:color w:val="000000"/>
                <w:sz w:val="18"/>
                <w:szCs w:val="18"/>
                <w:lang w:val="es-ES_tradnl"/>
              </w:rPr>
              <w:t>2.0</w:t>
            </w:r>
            <w:r w:rsidR="00013775" w:rsidRPr="00013775">
              <w:rPr>
                <w:rFonts w:ascii="Asap" w:hAnsi="Asap" w:cs="Asap"/>
                <w:color w:val="000000"/>
                <w:sz w:val="18"/>
                <w:szCs w:val="18"/>
                <w:lang w:val="es-ES_tradnl"/>
              </w:rPr>
              <w:t xml:space="preserve">95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4CF08F6"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2597B75F" w14:textId="3EE25A96"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2.</w:t>
            </w:r>
            <w:r w:rsidR="002A1913">
              <w:rPr>
                <w:rFonts w:ascii="Asap" w:hAnsi="Asap" w:cs="Asap"/>
                <w:color w:val="000000"/>
                <w:sz w:val="18"/>
                <w:szCs w:val="18"/>
                <w:lang w:val="es-ES_tradnl"/>
              </w:rPr>
              <w:t>3</w:t>
            </w:r>
            <w:r w:rsidRPr="00013775">
              <w:rPr>
                <w:rFonts w:ascii="Asap" w:hAnsi="Asap" w:cs="Asap"/>
                <w:color w:val="000000"/>
                <w:sz w:val="18"/>
                <w:szCs w:val="18"/>
                <w:lang w:val="es-ES_tradnl"/>
              </w:rPr>
              <w:t xml:space="preserve">50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48628C2E"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7712E3B9"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BB39414"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Suplemento habitación single</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6344C45E"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1.100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602E22C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4F974A6"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1.325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0FCF944"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13F3944D"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1.450 </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028D055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r w:rsidR="00013775" w:rsidRPr="00013775" w14:paraId="4CD99A2C" w14:textId="77777777">
        <w:trPr>
          <w:trHeight w:val="60"/>
        </w:trPr>
        <w:tc>
          <w:tcPr>
            <w:tcW w:w="2665"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AB7197C" w14:textId="77777777" w:rsidR="00013775" w:rsidRPr="00013775" w:rsidRDefault="00013775" w:rsidP="00013775">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013775">
              <w:rPr>
                <w:rFonts w:ascii="Asap" w:hAnsi="Asap" w:cs="Asap"/>
                <w:i/>
                <w:iCs/>
                <w:color w:val="000000"/>
                <w:w w:val="90"/>
                <w:sz w:val="17"/>
                <w:szCs w:val="17"/>
                <w:lang w:val="es-ES_tradnl"/>
              </w:rPr>
              <w:t>Supl. 4 cenas en Jerusalén</w:t>
            </w:r>
          </w:p>
        </w:tc>
        <w:tc>
          <w:tcPr>
            <w:tcW w:w="900" w:type="dxa"/>
            <w:tcBorders>
              <w:top w:val="single" w:sz="6" w:space="0" w:color="D9000D"/>
              <w:left w:val="single" w:sz="6" w:space="0" w:color="3F3F3F"/>
              <w:bottom w:val="single" w:sz="6" w:space="0" w:color="D9000D"/>
              <w:right w:val="single" w:sz="6" w:space="0" w:color="3F3F3F"/>
            </w:tcBorders>
            <w:tcMar>
              <w:top w:w="17" w:type="dxa"/>
              <w:left w:w="0" w:type="dxa"/>
              <w:bottom w:w="17" w:type="dxa"/>
              <w:right w:w="0" w:type="dxa"/>
            </w:tcMar>
          </w:tcPr>
          <w:p w14:paraId="4D597C65"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 xml:space="preserve">140 </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7D05FA11"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1"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9575409"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190</w:t>
            </w:r>
          </w:p>
        </w:tc>
        <w:tc>
          <w:tcPr>
            <w:tcW w:w="630"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563FD2D5"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c>
          <w:tcPr>
            <w:tcW w:w="900" w:type="dxa"/>
            <w:tcBorders>
              <w:top w:val="single" w:sz="6" w:space="0" w:color="D9000D"/>
              <w:left w:val="single" w:sz="6" w:space="0" w:color="D9000D"/>
              <w:bottom w:val="single" w:sz="6" w:space="0" w:color="D9000D"/>
              <w:right w:val="single" w:sz="6" w:space="0" w:color="3F3F3F"/>
            </w:tcBorders>
            <w:tcMar>
              <w:top w:w="17" w:type="dxa"/>
              <w:left w:w="0" w:type="dxa"/>
              <w:bottom w:w="17" w:type="dxa"/>
              <w:right w:w="0" w:type="dxa"/>
            </w:tcMar>
          </w:tcPr>
          <w:p w14:paraId="69880EFE"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jc w:val="right"/>
              <w:textAlignment w:val="center"/>
              <w:rPr>
                <w:rFonts w:ascii="Asap SemiBold" w:hAnsi="Asap SemiBold" w:cs="Asap SemiBold"/>
                <w:b/>
                <w:bCs/>
                <w:color w:val="000000"/>
                <w:sz w:val="18"/>
                <w:szCs w:val="18"/>
                <w:lang w:val="es-ES_tradnl"/>
              </w:rPr>
            </w:pPr>
            <w:r w:rsidRPr="00013775">
              <w:rPr>
                <w:rFonts w:ascii="Asap" w:hAnsi="Asap" w:cs="Asap"/>
                <w:color w:val="000000"/>
                <w:sz w:val="18"/>
                <w:szCs w:val="18"/>
                <w:lang w:val="es-ES_tradnl"/>
              </w:rPr>
              <w:t>270</w:t>
            </w:r>
          </w:p>
        </w:tc>
        <w:tc>
          <w:tcPr>
            <w:tcW w:w="631" w:type="dxa"/>
            <w:tcBorders>
              <w:top w:val="single" w:sz="6" w:space="0" w:color="D9000D"/>
              <w:left w:val="single" w:sz="6" w:space="0" w:color="3F3F3F"/>
              <w:bottom w:val="single" w:sz="6" w:space="0" w:color="D9000D"/>
              <w:right w:val="single" w:sz="6" w:space="0" w:color="D9000D"/>
            </w:tcBorders>
            <w:tcMar>
              <w:top w:w="17" w:type="dxa"/>
              <w:left w:w="57" w:type="dxa"/>
              <w:bottom w:w="17" w:type="dxa"/>
              <w:right w:w="28" w:type="dxa"/>
            </w:tcMar>
          </w:tcPr>
          <w:p w14:paraId="23B40968" w14:textId="77777777" w:rsidR="00013775" w:rsidRPr="00013775" w:rsidRDefault="00013775" w:rsidP="00013775">
            <w:pPr>
              <w:tabs>
                <w:tab w:val="right" w:leader="dot" w:pos="2268"/>
                <w:tab w:val="right" w:pos="2863"/>
                <w:tab w:val="right" w:pos="3005"/>
              </w:tabs>
              <w:autoSpaceDE w:val="0"/>
              <w:autoSpaceDN w:val="0"/>
              <w:adjustRightInd w:val="0"/>
              <w:spacing w:line="190" w:lineRule="atLeast"/>
              <w:textAlignment w:val="center"/>
              <w:rPr>
                <w:rFonts w:ascii="Asap SemiBold" w:hAnsi="Asap SemiBold" w:cs="Asap SemiBold"/>
                <w:b/>
                <w:bCs/>
                <w:color w:val="000000"/>
                <w:sz w:val="18"/>
                <w:szCs w:val="18"/>
                <w:lang w:val="es-ES_tradnl"/>
              </w:rPr>
            </w:pPr>
            <w:r w:rsidRPr="00013775">
              <w:rPr>
                <w:rFonts w:ascii="Asap" w:hAnsi="Asap" w:cs="Asap"/>
                <w:color w:val="000000"/>
                <w:sz w:val="16"/>
                <w:szCs w:val="16"/>
                <w:lang w:val="es-ES_tradnl"/>
              </w:rPr>
              <w:t>$</w:t>
            </w:r>
          </w:p>
        </w:tc>
      </w:tr>
    </w:tbl>
    <w:p w14:paraId="52FC5716" w14:textId="77777777" w:rsidR="00013775" w:rsidRPr="00D14B73" w:rsidRDefault="00013775" w:rsidP="00013775">
      <w:pPr>
        <w:pStyle w:val="cabecerahotelespreciosHoteles-Incluye"/>
        <w:tabs>
          <w:tab w:val="clear" w:pos="1389"/>
          <w:tab w:val="left" w:pos="6140"/>
        </w:tabs>
        <w:rPr>
          <w:color w:val="00812F"/>
          <w:spacing w:val="-6"/>
          <w:position w:val="-2"/>
          <w:lang w:val="es-ES"/>
        </w:rPr>
      </w:pPr>
    </w:p>
    <w:p w14:paraId="35A5BD4F" w14:textId="77777777" w:rsidR="00BC274B" w:rsidRPr="00013775" w:rsidRDefault="00BC274B" w:rsidP="00013775"/>
    <w:sectPr w:rsidR="00BC274B" w:rsidRPr="00013775"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Helvetica">
    <w:panose1 w:val="020B0604020202020204"/>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2781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13775"/>
    <w:rsid w:val="000B1DA0"/>
    <w:rsid w:val="00255D40"/>
    <w:rsid w:val="002A1913"/>
    <w:rsid w:val="0036441B"/>
    <w:rsid w:val="004D0B2F"/>
    <w:rsid w:val="005B20B4"/>
    <w:rsid w:val="007226A0"/>
    <w:rsid w:val="008C2DC0"/>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44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013775"/>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013775"/>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013775"/>
    <w:rPr>
      <w:rFonts w:ascii="Asap SemiBold" w:hAnsi="Asap SemiBold" w:cs="Asap SemiBold"/>
      <w:b/>
      <w:bCs/>
      <w:color w:val="000000"/>
      <w:spacing w:val="0"/>
      <w:w w:val="90"/>
      <w:sz w:val="15"/>
      <w:szCs w:val="15"/>
    </w:rPr>
  </w:style>
  <w:style w:type="character" w:customStyle="1" w:styleId="cabeceratramoprecio">
    <w:name w:val="cabecera tramo precio"/>
    <w:uiPriority w:val="99"/>
    <w:rsid w:val="00013775"/>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954</Words>
  <Characters>5251</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13</cp:revision>
  <dcterms:created xsi:type="dcterms:W3CDTF">2021-11-22T11:41:00Z</dcterms:created>
  <dcterms:modified xsi:type="dcterms:W3CDTF">2023-02-09T03:45:00Z</dcterms:modified>
</cp:coreProperties>
</file>